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8B" w:rsidRPr="00DC66E3" w:rsidRDefault="00190F4A" w:rsidP="000035D9">
      <w:pPr>
        <w:jc w:val="center"/>
        <w:rPr>
          <w:b/>
          <w:szCs w:val="24"/>
        </w:rPr>
      </w:pPr>
      <w:r w:rsidRPr="00DC66E3">
        <w:rPr>
          <w:b/>
          <w:szCs w:val="24"/>
        </w:rPr>
        <w:t>CAMDEN</w:t>
      </w:r>
      <w:r w:rsidR="00400D8B" w:rsidRPr="00DC66E3">
        <w:rPr>
          <w:b/>
          <w:szCs w:val="24"/>
        </w:rPr>
        <w:t xml:space="preserve"> COUNTY IMPROVEMENT AUTHORITY</w:t>
      </w:r>
    </w:p>
    <w:p w:rsidR="00400D8B" w:rsidRPr="00DC66E3" w:rsidRDefault="00400D8B" w:rsidP="000035D9">
      <w:pPr>
        <w:jc w:val="center"/>
        <w:rPr>
          <w:b/>
          <w:szCs w:val="24"/>
        </w:rPr>
      </w:pPr>
    </w:p>
    <w:p w:rsidR="00400D8B" w:rsidRPr="00DC66E3" w:rsidRDefault="00400D8B" w:rsidP="000035D9">
      <w:pPr>
        <w:spacing w:after="240"/>
        <w:jc w:val="center"/>
        <w:rPr>
          <w:b/>
          <w:szCs w:val="24"/>
        </w:rPr>
      </w:pPr>
      <w:r w:rsidRPr="00DC66E3">
        <w:rPr>
          <w:b/>
          <w:szCs w:val="24"/>
        </w:rPr>
        <w:t>NOTICE OF PUBLIC HEARING</w:t>
      </w:r>
    </w:p>
    <w:p w:rsidR="00400D8B" w:rsidRDefault="00400D8B" w:rsidP="00FF0585">
      <w:pPr>
        <w:spacing w:after="240"/>
        <w:jc w:val="both"/>
        <w:rPr>
          <w:szCs w:val="24"/>
        </w:rPr>
      </w:pPr>
      <w:r w:rsidRPr="00DC66E3">
        <w:rPr>
          <w:szCs w:val="24"/>
        </w:rPr>
        <w:tab/>
        <w:t xml:space="preserve">Notice is hereby given that a </w:t>
      </w:r>
      <w:r w:rsidR="006076BB" w:rsidRPr="00DC66E3">
        <w:rPr>
          <w:szCs w:val="24"/>
        </w:rPr>
        <w:t xml:space="preserve">telephonic </w:t>
      </w:r>
      <w:r w:rsidRPr="00DC66E3">
        <w:rPr>
          <w:szCs w:val="24"/>
        </w:rPr>
        <w:t xml:space="preserve">public hearing will be held by the </w:t>
      </w:r>
      <w:r w:rsidR="00190F4A" w:rsidRPr="00DC66E3">
        <w:rPr>
          <w:szCs w:val="24"/>
        </w:rPr>
        <w:t>Camden</w:t>
      </w:r>
      <w:r w:rsidRPr="00DC66E3">
        <w:rPr>
          <w:szCs w:val="24"/>
        </w:rPr>
        <w:t xml:space="preserve"> County Improvement Authority (the “Authority”) on </w:t>
      </w:r>
      <w:r w:rsidR="004536CA" w:rsidRPr="00DC66E3">
        <w:rPr>
          <w:szCs w:val="24"/>
        </w:rPr>
        <w:t>August 3</w:t>
      </w:r>
      <w:r w:rsidRPr="00DC66E3">
        <w:rPr>
          <w:szCs w:val="24"/>
        </w:rPr>
        <w:t xml:space="preserve">, </w:t>
      </w:r>
      <w:r w:rsidR="00190F4A" w:rsidRPr="00DC66E3">
        <w:rPr>
          <w:szCs w:val="24"/>
        </w:rPr>
        <w:t>2023</w:t>
      </w:r>
      <w:r w:rsidRPr="00DC66E3">
        <w:rPr>
          <w:szCs w:val="24"/>
        </w:rPr>
        <w:t xml:space="preserve">, commencing at </w:t>
      </w:r>
      <w:r w:rsidR="00A21AD8" w:rsidRPr="00DC66E3">
        <w:rPr>
          <w:szCs w:val="24"/>
        </w:rPr>
        <w:t>1</w:t>
      </w:r>
      <w:r w:rsidR="005117A4" w:rsidRPr="00DC66E3">
        <w:rPr>
          <w:szCs w:val="24"/>
        </w:rPr>
        <w:t>0</w:t>
      </w:r>
      <w:r w:rsidRPr="00DC66E3">
        <w:rPr>
          <w:szCs w:val="24"/>
        </w:rPr>
        <w:t>:</w:t>
      </w:r>
      <w:r w:rsidR="00E80B52">
        <w:rPr>
          <w:szCs w:val="24"/>
        </w:rPr>
        <w:t>3</w:t>
      </w:r>
      <w:bookmarkStart w:id="0" w:name="_GoBack"/>
      <w:bookmarkEnd w:id="0"/>
      <w:r w:rsidRPr="00DC66E3">
        <w:rPr>
          <w:szCs w:val="24"/>
        </w:rPr>
        <w:t xml:space="preserve">0 a.m., for the purpose of providing a reasonable opportunity for interested persons to express their views both orally and in writing on the proposed issuance by the Authority of </w:t>
      </w:r>
      <w:r w:rsidR="004536CA" w:rsidRPr="00DC66E3">
        <w:rPr>
          <w:szCs w:val="24"/>
        </w:rPr>
        <w:t>Health Care Redevelopment Project Revenue Refunding</w:t>
      </w:r>
      <w:r w:rsidRPr="00DC66E3">
        <w:rPr>
          <w:szCs w:val="24"/>
        </w:rPr>
        <w:t xml:space="preserve"> Bonds</w:t>
      </w:r>
      <w:r w:rsidR="00EB085E" w:rsidRPr="00DC66E3">
        <w:rPr>
          <w:szCs w:val="24"/>
        </w:rPr>
        <w:t xml:space="preserve">, </w:t>
      </w:r>
      <w:r w:rsidR="004536CA" w:rsidRPr="00DC66E3">
        <w:rPr>
          <w:szCs w:val="24"/>
        </w:rPr>
        <w:t xml:space="preserve">The Cooper Health System Obligated Group, </w:t>
      </w:r>
      <w:r w:rsidR="00EB085E" w:rsidRPr="00DC66E3">
        <w:rPr>
          <w:szCs w:val="24"/>
        </w:rPr>
        <w:t xml:space="preserve">Series </w:t>
      </w:r>
      <w:r w:rsidR="00190F4A" w:rsidRPr="00DC66E3">
        <w:rPr>
          <w:szCs w:val="24"/>
        </w:rPr>
        <w:t>2023</w:t>
      </w:r>
      <w:r w:rsidR="004536CA" w:rsidRPr="00DC66E3">
        <w:rPr>
          <w:szCs w:val="24"/>
        </w:rPr>
        <w:t>B</w:t>
      </w:r>
      <w:r w:rsidRPr="00DC66E3">
        <w:rPr>
          <w:szCs w:val="24"/>
        </w:rPr>
        <w:t xml:space="preserve"> </w:t>
      </w:r>
      <w:r w:rsidR="003A726E">
        <w:rPr>
          <w:szCs w:val="24"/>
        </w:rPr>
        <w:t xml:space="preserve">issued on a tax-exempt basis </w:t>
      </w:r>
      <w:r w:rsidRPr="00DC66E3">
        <w:rPr>
          <w:szCs w:val="24"/>
        </w:rPr>
        <w:t>(the “Bonds”) in an aggregate p</w:t>
      </w:r>
      <w:r w:rsidR="005D23B1" w:rsidRPr="00DC66E3">
        <w:rPr>
          <w:szCs w:val="24"/>
        </w:rPr>
        <w:t>rincipal amount not to exceed $</w:t>
      </w:r>
      <w:r w:rsidR="00C52283" w:rsidRPr="00DC66E3">
        <w:rPr>
          <w:szCs w:val="24"/>
        </w:rPr>
        <w:t>10</w:t>
      </w:r>
      <w:r w:rsidR="00190F4A" w:rsidRPr="00DC66E3">
        <w:rPr>
          <w:szCs w:val="24"/>
        </w:rPr>
        <w:t>0,000,000</w:t>
      </w:r>
      <w:r w:rsidR="007C3D22">
        <w:rPr>
          <w:szCs w:val="24"/>
        </w:rPr>
        <w:t xml:space="preserve">, which will </w:t>
      </w:r>
      <w:r w:rsidR="00F313D9">
        <w:rPr>
          <w:szCs w:val="24"/>
        </w:rPr>
        <w:t>re</w:t>
      </w:r>
      <w:r w:rsidR="007C3D22">
        <w:rPr>
          <w:szCs w:val="24"/>
        </w:rPr>
        <w:t>finance the Project</w:t>
      </w:r>
      <w:r w:rsidR="00F1265B">
        <w:rPr>
          <w:szCs w:val="24"/>
        </w:rPr>
        <w:t xml:space="preserve"> </w:t>
      </w:r>
      <w:r w:rsidR="007C3D22">
        <w:rPr>
          <w:szCs w:val="24"/>
        </w:rPr>
        <w:t>described below.</w:t>
      </w:r>
    </w:p>
    <w:p w:rsidR="0060397F" w:rsidRPr="00DC66E3" w:rsidRDefault="0060397F" w:rsidP="0060397F">
      <w:pPr>
        <w:spacing w:after="240"/>
        <w:jc w:val="both"/>
        <w:rPr>
          <w:szCs w:val="24"/>
        </w:rPr>
      </w:pPr>
      <w:r>
        <w:rPr>
          <w:szCs w:val="24"/>
        </w:rPr>
        <w:tab/>
        <w:t>The</w:t>
      </w:r>
      <w:r w:rsidR="00246801">
        <w:rPr>
          <w:szCs w:val="24"/>
        </w:rPr>
        <w:t xml:space="preserve"> </w:t>
      </w:r>
      <w:r w:rsidR="00EB681A">
        <w:rPr>
          <w:szCs w:val="24"/>
        </w:rPr>
        <w:t>Bonds will be used to currently refund the Authorit</w:t>
      </w:r>
      <w:r>
        <w:rPr>
          <w:szCs w:val="24"/>
        </w:rPr>
        <w:t xml:space="preserve">y’s  </w:t>
      </w:r>
      <w:r w:rsidRPr="00DC66E3">
        <w:rPr>
          <w:szCs w:val="24"/>
        </w:rPr>
        <w:t>Health Care Redevelopment Project Revenue Refunding Bonds</w:t>
      </w:r>
      <w:r w:rsidR="00A44FB4">
        <w:rPr>
          <w:szCs w:val="24"/>
        </w:rPr>
        <w:t>,</w:t>
      </w:r>
      <w:r w:rsidRPr="00DC66E3">
        <w:rPr>
          <w:szCs w:val="24"/>
        </w:rPr>
        <w:t xml:space="preserve"> The Cooper Health System Obligated Group Issue, Series 20</w:t>
      </w:r>
      <w:r>
        <w:rPr>
          <w:szCs w:val="24"/>
        </w:rPr>
        <w:t>23B (Federally Taxable) (the “2023B Bonds”).</w:t>
      </w:r>
    </w:p>
    <w:p w:rsidR="00A24706" w:rsidRDefault="0060397F" w:rsidP="0060397F">
      <w:pPr>
        <w:spacing w:after="240"/>
        <w:jc w:val="both"/>
        <w:rPr>
          <w:szCs w:val="24"/>
        </w:rPr>
      </w:pPr>
      <w:r w:rsidRPr="00DC66E3">
        <w:rPr>
          <w:szCs w:val="24"/>
        </w:rPr>
        <w:tab/>
        <w:t xml:space="preserve">The proceeds of the </w:t>
      </w:r>
      <w:r>
        <w:rPr>
          <w:szCs w:val="24"/>
        </w:rPr>
        <w:t xml:space="preserve">2023B </w:t>
      </w:r>
      <w:r w:rsidRPr="00DC66E3">
        <w:rPr>
          <w:szCs w:val="24"/>
        </w:rPr>
        <w:t xml:space="preserve">Bonds </w:t>
      </w:r>
      <w:r w:rsidR="00A44FB4">
        <w:rPr>
          <w:szCs w:val="24"/>
        </w:rPr>
        <w:t>were</w:t>
      </w:r>
      <w:r w:rsidR="00400D8B" w:rsidRPr="00DC66E3">
        <w:rPr>
          <w:szCs w:val="24"/>
        </w:rPr>
        <w:t xml:space="preserve"> </w:t>
      </w:r>
      <w:r w:rsidR="00BE36C7" w:rsidRPr="00DC66E3">
        <w:rPr>
          <w:szCs w:val="24"/>
        </w:rPr>
        <w:t>loaned to The Cooper Health System, a New Jersey Non-Profit Corporation (the “Borrower”), a New Jersey not-for-profit corporation</w:t>
      </w:r>
      <w:r w:rsidR="00BE36C7">
        <w:rPr>
          <w:szCs w:val="24"/>
        </w:rPr>
        <w:t>,</w:t>
      </w:r>
      <w:r w:rsidR="00992CB5">
        <w:rPr>
          <w:szCs w:val="24"/>
        </w:rPr>
        <w:t xml:space="preserve"> and were </w:t>
      </w:r>
      <w:r w:rsidR="00400D8B" w:rsidRPr="00DC66E3">
        <w:rPr>
          <w:szCs w:val="24"/>
        </w:rPr>
        <w:t>used, together wi</w:t>
      </w:r>
      <w:r w:rsidR="001F0078" w:rsidRPr="00DC66E3">
        <w:rPr>
          <w:szCs w:val="24"/>
        </w:rPr>
        <w:t xml:space="preserve">th other available monies, </w:t>
      </w:r>
      <w:r w:rsidR="00BC6D7E" w:rsidRPr="00DC66E3">
        <w:rPr>
          <w:szCs w:val="24"/>
        </w:rPr>
        <w:t>for</w:t>
      </w:r>
      <w:r w:rsidR="00A44FB4">
        <w:rPr>
          <w:szCs w:val="24"/>
        </w:rPr>
        <w:t xml:space="preserve"> a project consisting of</w:t>
      </w:r>
      <w:r w:rsidR="00CD1DF3">
        <w:rPr>
          <w:szCs w:val="24"/>
        </w:rPr>
        <w:t>:</w:t>
      </w:r>
      <w:r w:rsidR="00910298" w:rsidRPr="00DC66E3">
        <w:rPr>
          <w:szCs w:val="24"/>
        </w:rPr>
        <w:t xml:space="preserve"> (i) the current refunding a portion of the $139,725,000 original aggregate principal amount </w:t>
      </w:r>
      <w:r w:rsidR="00914FE5">
        <w:rPr>
          <w:szCs w:val="24"/>
        </w:rPr>
        <w:t xml:space="preserve">of the </w:t>
      </w:r>
      <w:r w:rsidR="00910298" w:rsidRPr="00DC66E3">
        <w:rPr>
          <w:szCs w:val="24"/>
        </w:rPr>
        <w:t>Authority</w:t>
      </w:r>
      <w:r w:rsidR="00914FE5">
        <w:rPr>
          <w:szCs w:val="24"/>
        </w:rPr>
        <w:t>’s</w:t>
      </w:r>
      <w:r w:rsidR="00910298" w:rsidRPr="00DC66E3">
        <w:rPr>
          <w:szCs w:val="24"/>
        </w:rPr>
        <w:t xml:space="preserve"> Health Care Redevelopment Project Revenue Refunding Bonds</w:t>
      </w:r>
      <w:r w:rsidR="00A44FB4">
        <w:rPr>
          <w:szCs w:val="24"/>
        </w:rPr>
        <w:t>,</w:t>
      </w:r>
      <w:r w:rsidR="00910298" w:rsidRPr="00DC66E3">
        <w:rPr>
          <w:szCs w:val="24"/>
        </w:rPr>
        <w:t xml:space="preserve"> The Cooper Health System Obligated Group Issue, Series 2014A (the “</w:t>
      </w:r>
      <w:r w:rsidR="00E16A52">
        <w:rPr>
          <w:szCs w:val="24"/>
        </w:rPr>
        <w:t>2014A</w:t>
      </w:r>
      <w:r w:rsidR="00910298" w:rsidRPr="00DC66E3">
        <w:rPr>
          <w:szCs w:val="24"/>
        </w:rPr>
        <w:t xml:space="preserve"> Bonds”), and (ii) paying the issuance costs of the Series 2023B Bonds.  </w:t>
      </w:r>
    </w:p>
    <w:p w:rsidR="00400D8B" w:rsidRPr="00DC66E3" w:rsidRDefault="00910298" w:rsidP="00A24706">
      <w:pPr>
        <w:spacing w:after="240"/>
        <w:ind w:firstLine="576"/>
        <w:jc w:val="both"/>
        <w:rPr>
          <w:szCs w:val="24"/>
        </w:rPr>
      </w:pPr>
      <w:r w:rsidRPr="00DC66E3">
        <w:rPr>
          <w:szCs w:val="24"/>
        </w:rPr>
        <w:t xml:space="preserve">The </w:t>
      </w:r>
      <w:r w:rsidR="00F313D9">
        <w:rPr>
          <w:szCs w:val="24"/>
        </w:rPr>
        <w:t>p</w:t>
      </w:r>
      <w:r w:rsidRPr="00DC66E3">
        <w:rPr>
          <w:szCs w:val="24"/>
        </w:rPr>
        <w:t xml:space="preserve">roceeds of the </w:t>
      </w:r>
      <w:r w:rsidR="00E16A52">
        <w:rPr>
          <w:szCs w:val="24"/>
        </w:rPr>
        <w:t xml:space="preserve">2014A </w:t>
      </w:r>
      <w:r w:rsidRPr="00DC66E3">
        <w:rPr>
          <w:szCs w:val="24"/>
        </w:rPr>
        <w:t>Bonds were used for a project consisting of (i) the current refunding of the Authority’s Health Care Redevelopment Project Fixed Rate Revenue Bonds, The Cooper Health System Obligated Group Issue, Series 2004A (the “2004A Bonds”); (ii) the current refunding of the Authority’s Health Care Redevelopment Project Variable Rate Demand Revenue Bonds, The Cooper Health System Group Issue, Series 2004B (the “2004B Bonds” and, together with the 2004A Bonds, the “2004 Bonds”); (iii) the current refunding of the Authority’s Health Care Redevelopment Project Fixed Rate Revenue Bonds, The Cooper Health System Obligated Group Issue, Series 2005A (the “2005A Bonds”); (iv) the current refunding of the Authority’s Health Care Redevelopment Project Fixed Rate Revenue Bonds, The Cooper Health System Obligated Group Issue, Series 2005B (the “2005B Bonds”</w:t>
      </w:r>
      <w:r w:rsidR="000D347D">
        <w:rPr>
          <w:szCs w:val="24"/>
        </w:rPr>
        <w:t>)</w:t>
      </w:r>
      <w:r w:rsidRPr="00DC66E3">
        <w:rPr>
          <w:szCs w:val="24"/>
        </w:rPr>
        <w:t>; and (v) paying costs of issuing the 2014A Bonds.</w:t>
      </w:r>
    </w:p>
    <w:p w:rsidR="007F1D9A" w:rsidRPr="00DC66E3" w:rsidRDefault="004E693E" w:rsidP="004E693E">
      <w:pPr>
        <w:kinsoku w:val="0"/>
        <w:autoSpaceDE/>
        <w:autoSpaceDN/>
        <w:adjustRightInd/>
        <w:ind w:firstLine="576"/>
        <w:jc w:val="both"/>
        <w:rPr>
          <w:szCs w:val="24"/>
        </w:rPr>
      </w:pPr>
      <w:r w:rsidRPr="00DC66E3">
        <w:rPr>
          <w:szCs w:val="24"/>
        </w:rPr>
        <w:t xml:space="preserve">Proceeds of the 2004 Bonds were used to finance a portion of a project consisting of the following: (1) constructing and equipping of two new operating rooms; (2) relocation, expansion and equipping of the pediatric Intensive Care Unit and the expansion of the </w:t>
      </w:r>
      <w:r w:rsidR="00C244F4">
        <w:rPr>
          <w:szCs w:val="24"/>
        </w:rPr>
        <w:t>a</w:t>
      </w:r>
      <w:r w:rsidRPr="00DC66E3">
        <w:rPr>
          <w:szCs w:val="24"/>
        </w:rPr>
        <w:t xml:space="preserve">dult Intensive Care Unit; (3) constructing and equipping of a new catheterization laboratory and a new electrophysiology lab; (4) relocation of non-patient care services and the renovation of existing space for patient care </w:t>
      </w:r>
      <w:r w:rsidR="00C244F4">
        <w:rPr>
          <w:szCs w:val="24"/>
        </w:rPr>
        <w:t>i</w:t>
      </w:r>
      <w:r w:rsidRPr="00DC66E3">
        <w:rPr>
          <w:szCs w:val="24"/>
        </w:rPr>
        <w:t xml:space="preserve">n the </w:t>
      </w:r>
      <w:proofErr w:type="spellStart"/>
      <w:r w:rsidR="00DC66E3" w:rsidRPr="00DC66E3">
        <w:rPr>
          <w:szCs w:val="24"/>
        </w:rPr>
        <w:t>Keleman</w:t>
      </w:r>
      <w:proofErr w:type="spellEnd"/>
      <w:r w:rsidRPr="00DC66E3">
        <w:rPr>
          <w:szCs w:val="24"/>
        </w:rPr>
        <w:t xml:space="preserve"> building; (5) renovations including (</w:t>
      </w:r>
      <w:r w:rsidR="00C86B30">
        <w:rPr>
          <w:szCs w:val="24"/>
        </w:rPr>
        <w:t>i</w:t>
      </w:r>
      <w:r w:rsidRPr="00DC66E3">
        <w:rPr>
          <w:szCs w:val="24"/>
        </w:rPr>
        <w:t xml:space="preserve">) replacing the building exteriors on the </w:t>
      </w:r>
      <w:proofErr w:type="spellStart"/>
      <w:r w:rsidRPr="00DC66E3">
        <w:rPr>
          <w:szCs w:val="24"/>
        </w:rPr>
        <w:t>Kelemen</w:t>
      </w:r>
      <w:proofErr w:type="spellEnd"/>
      <w:r w:rsidRPr="00DC66E3">
        <w:rPr>
          <w:szCs w:val="24"/>
        </w:rPr>
        <w:t xml:space="preserve"> </w:t>
      </w:r>
      <w:r w:rsidR="00DC66E3" w:rsidRPr="00DC66E3">
        <w:rPr>
          <w:szCs w:val="24"/>
        </w:rPr>
        <w:t>and</w:t>
      </w:r>
      <w:r w:rsidRPr="00DC66E3">
        <w:rPr>
          <w:szCs w:val="24"/>
        </w:rPr>
        <w:t xml:space="preserve"> </w:t>
      </w:r>
      <w:proofErr w:type="spellStart"/>
      <w:r w:rsidRPr="00DC66E3">
        <w:rPr>
          <w:szCs w:val="24"/>
        </w:rPr>
        <w:t>Dorrance</w:t>
      </w:r>
      <w:proofErr w:type="spellEnd"/>
      <w:r w:rsidRPr="00DC66E3">
        <w:rPr>
          <w:szCs w:val="24"/>
        </w:rPr>
        <w:t xml:space="preserve"> buildings (</w:t>
      </w:r>
      <w:r w:rsidR="00C86B30">
        <w:rPr>
          <w:szCs w:val="24"/>
        </w:rPr>
        <w:t>ii</w:t>
      </w:r>
      <w:r w:rsidRPr="00DC66E3">
        <w:rPr>
          <w:szCs w:val="24"/>
        </w:rPr>
        <w:t>) replacing the hospital</w:t>
      </w:r>
      <w:r w:rsidR="00DC66E3" w:rsidRPr="00DC66E3">
        <w:rPr>
          <w:szCs w:val="24"/>
        </w:rPr>
        <w:t>’</w:t>
      </w:r>
      <w:r w:rsidRPr="00DC66E3">
        <w:rPr>
          <w:szCs w:val="24"/>
        </w:rPr>
        <w:t>s perimeter screening (</w:t>
      </w:r>
      <w:r w:rsidR="00C86B30">
        <w:rPr>
          <w:szCs w:val="24"/>
        </w:rPr>
        <w:t>iii</w:t>
      </w:r>
      <w:r w:rsidRPr="00DC66E3">
        <w:rPr>
          <w:szCs w:val="24"/>
        </w:rPr>
        <w:t>) renovating the canopy over the hospital's main entrance/patient drop-off areas and (</w:t>
      </w:r>
      <w:r w:rsidR="00C86B30">
        <w:rPr>
          <w:szCs w:val="24"/>
        </w:rPr>
        <w:t>iv</w:t>
      </w:r>
      <w:r w:rsidRPr="00DC66E3">
        <w:rPr>
          <w:szCs w:val="24"/>
        </w:rPr>
        <w:t xml:space="preserve">) structural improvements to the entrance of the </w:t>
      </w:r>
      <w:proofErr w:type="spellStart"/>
      <w:r w:rsidRPr="00DC66E3">
        <w:rPr>
          <w:szCs w:val="24"/>
        </w:rPr>
        <w:t>Dorrance</w:t>
      </w:r>
      <w:proofErr w:type="spellEnd"/>
      <w:r w:rsidRPr="00DC66E3">
        <w:rPr>
          <w:szCs w:val="24"/>
        </w:rPr>
        <w:t xml:space="preserve"> building and redesign of the</w:t>
      </w:r>
      <w:r w:rsidRPr="00DC66E3">
        <w:rPr>
          <w:i/>
          <w:szCs w:val="24"/>
        </w:rPr>
        <w:t xml:space="preserve"> </w:t>
      </w:r>
      <w:r w:rsidRPr="00DC66E3">
        <w:rPr>
          <w:szCs w:val="24"/>
        </w:rPr>
        <w:t xml:space="preserve">hospital lobby; (6) purchase of information technology systems related to operating room/surgery center operations, pathology, computerized physician order entry and Health Insurance Portability and </w:t>
      </w:r>
      <w:r w:rsidRPr="00DC66E3">
        <w:rPr>
          <w:szCs w:val="24"/>
        </w:rPr>
        <w:lastRenderedPageBreak/>
        <w:t xml:space="preserve">Accountability Act compliance; (7) purchase of certain movable and fixed equipment plus the incurrence of expenditures to renovate and refurbish selected areas of cardiology, oncology, critical care medicine, bone and joint, and trauma; (8) costs of certain equipment upgrades including upgrades, replacement of pneumatic tube system and upgrades to the hospital’s air handling system; (9) purchase of radiology and patient monitoring equipment, and replacement of hospital-based infusion pumps; (10) costs of planning, constructing and equipping an approximately 140,000 square foot patient care pavilion containing emergency room services, trauma services, an </w:t>
      </w:r>
      <w:r w:rsidR="00DC66E3">
        <w:rPr>
          <w:szCs w:val="24"/>
        </w:rPr>
        <w:t>i</w:t>
      </w:r>
      <w:r w:rsidRPr="00DC66E3">
        <w:rPr>
          <w:szCs w:val="24"/>
        </w:rPr>
        <w:t xml:space="preserve">ntensive care unit, space for The Cooper </w:t>
      </w:r>
      <w:r w:rsidR="00DC66E3" w:rsidRPr="00DC66E3">
        <w:rPr>
          <w:szCs w:val="24"/>
        </w:rPr>
        <w:t>Heart</w:t>
      </w:r>
      <w:r w:rsidRPr="00DC66E3">
        <w:rPr>
          <w:szCs w:val="24"/>
        </w:rPr>
        <w:t xml:space="preserve"> Institute, and other patient care and administrative facilities; (11) funding any debt service reserve fund required to be established for the 2004 Bonds; (12) funding a portion of the </w:t>
      </w:r>
      <w:r w:rsidR="00DC66E3" w:rsidRPr="00DC66E3">
        <w:rPr>
          <w:szCs w:val="24"/>
        </w:rPr>
        <w:t>i</w:t>
      </w:r>
      <w:r w:rsidRPr="00DC66E3">
        <w:rPr>
          <w:szCs w:val="24"/>
        </w:rPr>
        <w:t xml:space="preserve">nterest to accrue on certain 2004 Bonds from the date of </w:t>
      </w:r>
      <w:r w:rsidR="00DC66E3" w:rsidRPr="00DC66E3">
        <w:rPr>
          <w:szCs w:val="24"/>
        </w:rPr>
        <w:t>i</w:t>
      </w:r>
      <w:r w:rsidRPr="00DC66E3">
        <w:rPr>
          <w:szCs w:val="24"/>
        </w:rPr>
        <w:t xml:space="preserve">ssuance of the 2004 Bonds; (13) certain credit enhancement fees in connection with </w:t>
      </w:r>
      <w:r w:rsidR="00C86B30">
        <w:rPr>
          <w:szCs w:val="24"/>
        </w:rPr>
        <w:t>c</w:t>
      </w:r>
      <w:r w:rsidRPr="00DC66E3">
        <w:rPr>
          <w:szCs w:val="24"/>
        </w:rPr>
        <w:t xml:space="preserve">ertain of the 2004 Bonds; and (14) a portion of the costs incurred </w:t>
      </w:r>
      <w:r w:rsidR="00C244F4">
        <w:rPr>
          <w:szCs w:val="24"/>
        </w:rPr>
        <w:t>i</w:t>
      </w:r>
      <w:r w:rsidRPr="00DC66E3">
        <w:rPr>
          <w:szCs w:val="24"/>
        </w:rPr>
        <w:t xml:space="preserve">n connection with the </w:t>
      </w:r>
      <w:r w:rsidR="00C86B30">
        <w:rPr>
          <w:szCs w:val="24"/>
        </w:rPr>
        <w:t>i</w:t>
      </w:r>
      <w:r w:rsidRPr="00DC66E3">
        <w:rPr>
          <w:szCs w:val="24"/>
        </w:rPr>
        <w:t>ssuance of the 2004 Bonds.</w:t>
      </w:r>
    </w:p>
    <w:p w:rsidR="004E693E" w:rsidRPr="00DC66E3" w:rsidRDefault="004E693E" w:rsidP="004E693E">
      <w:pPr>
        <w:kinsoku w:val="0"/>
        <w:autoSpaceDE/>
        <w:autoSpaceDN/>
        <w:adjustRightInd/>
        <w:ind w:firstLine="576"/>
        <w:jc w:val="both"/>
        <w:rPr>
          <w:szCs w:val="24"/>
        </w:rPr>
      </w:pPr>
    </w:p>
    <w:p w:rsidR="004E693E" w:rsidRPr="00DC66E3" w:rsidRDefault="004E693E" w:rsidP="004E693E">
      <w:pPr>
        <w:kinsoku w:val="0"/>
        <w:autoSpaceDE/>
        <w:autoSpaceDN/>
        <w:adjustRightInd/>
        <w:ind w:firstLine="576"/>
        <w:jc w:val="both"/>
        <w:rPr>
          <w:szCs w:val="24"/>
        </w:rPr>
      </w:pPr>
      <w:r w:rsidRPr="00DC66E3">
        <w:rPr>
          <w:szCs w:val="24"/>
        </w:rPr>
        <w:t xml:space="preserve">Proceeds of the 2005A Bonds were used to finance a project consisting of the following: (1) projects related to the Borrower’s Pavilion project, </w:t>
      </w:r>
      <w:r w:rsidR="00DC66E3" w:rsidRPr="00DC66E3">
        <w:rPr>
          <w:szCs w:val="24"/>
        </w:rPr>
        <w:t>i</w:t>
      </w:r>
      <w:r w:rsidRPr="00DC66E3">
        <w:rPr>
          <w:szCs w:val="24"/>
        </w:rPr>
        <w:t xml:space="preserve">ncluding construction of four additional patient care floors, construction and renovation to allow for occupancy of the expanded surgical suite, construction of a basement </w:t>
      </w:r>
      <w:r w:rsidR="00C86B30">
        <w:rPr>
          <w:szCs w:val="24"/>
        </w:rPr>
        <w:t>i</w:t>
      </w:r>
      <w:r w:rsidRPr="00DC66E3">
        <w:rPr>
          <w:szCs w:val="24"/>
        </w:rPr>
        <w:t>n the new pavilion and renovation and expansion of the Trauma Intensive Care Unit; (2) constructing and equipping new operating rooms, laboratories and space for patient care; (3) relocating non-patient care services and the renovation of existing space for patient care; (4) construction of a new lobby and expansion of the existing lobby; (5) upgrades to campus building exteriors, landscape upgrades and</w:t>
      </w:r>
      <w:r w:rsidRPr="00DC66E3">
        <w:rPr>
          <w:i/>
          <w:szCs w:val="24"/>
        </w:rPr>
        <w:t xml:space="preserve"> </w:t>
      </w:r>
      <w:r w:rsidRPr="00DC66E3">
        <w:rPr>
          <w:szCs w:val="24"/>
        </w:rPr>
        <w:t xml:space="preserve">roadway </w:t>
      </w:r>
      <w:r w:rsidR="00DC66E3" w:rsidRPr="00DC66E3">
        <w:rPr>
          <w:szCs w:val="24"/>
        </w:rPr>
        <w:t>i</w:t>
      </w:r>
      <w:r w:rsidRPr="00DC66E3">
        <w:rPr>
          <w:szCs w:val="24"/>
        </w:rPr>
        <w:t xml:space="preserve">mprovements; (6) demolition of </w:t>
      </w:r>
      <w:proofErr w:type="spellStart"/>
      <w:r w:rsidRPr="00DC66E3">
        <w:rPr>
          <w:szCs w:val="24"/>
        </w:rPr>
        <w:t>Re</w:t>
      </w:r>
      <w:r w:rsidR="00C244F4">
        <w:rPr>
          <w:szCs w:val="24"/>
        </w:rPr>
        <w:t>i</w:t>
      </w:r>
      <w:r w:rsidRPr="00DC66E3">
        <w:rPr>
          <w:szCs w:val="24"/>
        </w:rPr>
        <w:t>bel</w:t>
      </w:r>
      <w:proofErr w:type="spellEnd"/>
      <w:r w:rsidRPr="00DC66E3">
        <w:rPr>
          <w:szCs w:val="24"/>
        </w:rPr>
        <w:t xml:space="preserve"> </w:t>
      </w:r>
      <w:r w:rsidR="00DC66E3" w:rsidRPr="00DC66E3">
        <w:rPr>
          <w:szCs w:val="24"/>
        </w:rPr>
        <w:t>G</w:t>
      </w:r>
      <w:r w:rsidRPr="00DC66E3">
        <w:rPr>
          <w:szCs w:val="24"/>
        </w:rPr>
        <w:t xml:space="preserve">arage, construction of plaza </w:t>
      </w:r>
      <w:r w:rsidR="00DC66E3" w:rsidRPr="00DC66E3">
        <w:rPr>
          <w:szCs w:val="24"/>
        </w:rPr>
        <w:t>i</w:t>
      </w:r>
      <w:r w:rsidRPr="00DC66E3">
        <w:rPr>
          <w:szCs w:val="24"/>
        </w:rPr>
        <w:t xml:space="preserve">mprovements and construction of covered connector from new garage; (7) expansion of pre-op/PACU areas; (8) Improvements to campus infrastructure; (9) design and engineering developments (foundations/structural); (10) paying the costs incurred </w:t>
      </w:r>
      <w:r w:rsidR="00DC66E3" w:rsidRPr="00DC66E3">
        <w:rPr>
          <w:szCs w:val="24"/>
        </w:rPr>
        <w:t>i</w:t>
      </w:r>
      <w:r w:rsidRPr="00DC66E3">
        <w:rPr>
          <w:szCs w:val="24"/>
        </w:rPr>
        <w:t>n connection with the issuance</w:t>
      </w:r>
      <w:r w:rsidRPr="00DC66E3">
        <w:rPr>
          <w:i/>
          <w:szCs w:val="24"/>
        </w:rPr>
        <w:t xml:space="preserve"> </w:t>
      </w:r>
      <w:r w:rsidRPr="00DC66E3">
        <w:rPr>
          <w:szCs w:val="24"/>
        </w:rPr>
        <w:t>of the 2005 Bonds; and (11) funding a deposit to a debt service fund for the 2005 Bonds.</w:t>
      </w:r>
    </w:p>
    <w:p w:rsidR="00DC66E3" w:rsidRPr="00DC66E3" w:rsidRDefault="00DC66E3" w:rsidP="004E693E">
      <w:pPr>
        <w:kinsoku w:val="0"/>
        <w:autoSpaceDE/>
        <w:autoSpaceDN/>
        <w:adjustRightInd/>
        <w:ind w:firstLine="576"/>
        <w:jc w:val="both"/>
        <w:rPr>
          <w:szCs w:val="24"/>
        </w:rPr>
      </w:pPr>
    </w:p>
    <w:p w:rsidR="004E693E" w:rsidRPr="00DC66E3" w:rsidRDefault="00DC66E3" w:rsidP="00DC66E3">
      <w:pPr>
        <w:kinsoku w:val="0"/>
        <w:autoSpaceDE/>
        <w:autoSpaceDN/>
        <w:adjustRightInd/>
        <w:ind w:firstLine="576"/>
        <w:jc w:val="both"/>
        <w:rPr>
          <w:szCs w:val="24"/>
        </w:rPr>
      </w:pPr>
      <w:r w:rsidRPr="00DC66E3">
        <w:rPr>
          <w:szCs w:val="24"/>
        </w:rPr>
        <w:t xml:space="preserve">Proceeds of the 2005B Bonds were used to refinance the Authority's Health Care Redevelopment Project Revenue Bonds; The Cooper Health System Obligated Group Issue, Series 1997 which financed: (1) refinancing the construction and reconstruction of the main hospital building; (2) refinancing equipment for and improvements be the main hospital building; (3) financing (i) equipment for and improvements to the Children's Regional Hospital, (ii) an information technology project consisting of network-telecommunications improvements, a physician’s practice management system, a telecommunications switch, a patient accounting system, a managed care system, end a materials management system, (iii) radiation therapy equipment, (iv) a cardiac catheterization lab, and (v) general hospital facilities </w:t>
      </w:r>
      <w:r w:rsidR="00C244F4">
        <w:rPr>
          <w:szCs w:val="24"/>
        </w:rPr>
        <w:t>i</w:t>
      </w:r>
      <w:r w:rsidRPr="00DC66E3">
        <w:rPr>
          <w:szCs w:val="24"/>
        </w:rPr>
        <w:t>mprovements; (4) a deposit to a debt service reserve fund; and (5) costs of issuance.</w:t>
      </w:r>
    </w:p>
    <w:p w:rsidR="00DC66E3" w:rsidRPr="00DC66E3" w:rsidRDefault="00DC66E3" w:rsidP="00DC66E3">
      <w:pPr>
        <w:kinsoku w:val="0"/>
        <w:autoSpaceDE/>
        <w:autoSpaceDN/>
        <w:adjustRightInd/>
        <w:ind w:firstLine="576"/>
        <w:jc w:val="both"/>
        <w:rPr>
          <w:szCs w:val="24"/>
        </w:rPr>
      </w:pPr>
    </w:p>
    <w:p w:rsidR="00400D8B" w:rsidRPr="00DC66E3" w:rsidRDefault="00400D8B" w:rsidP="00FF0585">
      <w:pPr>
        <w:spacing w:after="240"/>
        <w:jc w:val="both"/>
        <w:rPr>
          <w:szCs w:val="24"/>
        </w:rPr>
      </w:pPr>
      <w:r w:rsidRPr="00DC66E3">
        <w:rPr>
          <w:szCs w:val="24"/>
        </w:rPr>
        <w:tab/>
        <w:t xml:space="preserve">The Project will be owned and operated by the Borrower and will be located on land </w:t>
      </w:r>
      <w:r w:rsidR="00F626D3" w:rsidRPr="00DC66E3">
        <w:rPr>
          <w:szCs w:val="24"/>
        </w:rPr>
        <w:t>owned</w:t>
      </w:r>
      <w:r w:rsidRPr="00DC66E3">
        <w:rPr>
          <w:szCs w:val="24"/>
        </w:rPr>
        <w:t xml:space="preserve"> by the Borrower </w:t>
      </w:r>
      <w:r w:rsidR="00F626D3" w:rsidRPr="00DC66E3">
        <w:rPr>
          <w:szCs w:val="24"/>
        </w:rPr>
        <w:t xml:space="preserve">and </w:t>
      </w:r>
      <w:r w:rsidRPr="00DC66E3">
        <w:rPr>
          <w:szCs w:val="24"/>
        </w:rPr>
        <w:t xml:space="preserve">located at </w:t>
      </w:r>
      <w:r w:rsidR="00AF0C48" w:rsidRPr="00DC66E3">
        <w:rPr>
          <w:szCs w:val="24"/>
        </w:rPr>
        <w:t>One Cooper Plaza</w:t>
      </w:r>
      <w:r w:rsidR="00805D7D" w:rsidRPr="00DC66E3">
        <w:rPr>
          <w:szCs w:val="24"/>
        </w:rPr>
        <w:t xml:space="preserve">, </w:t>
      </w:r>
      <w:r w:rsidR="00E47AA2" w:rsidRPr="00DC66E3">
        <w:rPr>
          <w:szCs w:val="24"/>
        </w:rPr>
        <w:t>Camden</w:t>
      </w:r>
      <w:r w:rsidRPr="00DC66E3">
        <w:rPr>
          <w:szCs w:val="24"/>
        </w:rPr>
        <w:t>, New Jersey</w:t>
      </w:r>
      <w:r w:rsidR="00AF0C48" w:rsidRPr="00DC66E3">
        <w:rPr>
          <w:szCs w:val="24"/>
        </w:rPr>
        <w:t xml:space="preserve"> (Block 1, Lot 1402 of the Camden City Tax Map)</w:t>
      </w:r>
      <w:r w:rsidRPr="00DC66E3">
        <w:rPr>
          <w:szCs w:val="24"/>
        </w:rPr>
        <w:t>.</w:t>
      </w:r>
    </w:p>
    <w:p w:rsidR="00431C19" w:rsidRPr="00DC66E3" w:rsidRDefault="00431C19" w:rsidP="00FF0585">
      <w:pPr>
        <w:spacing w:after="240"/>
        <w:jc w:val="both"/>
        <w:rPr>
          <w:szCs w:val="24"/>
        </w:rPr>
      </w:pPr>
      <w:r w:rsidRPr="00DC66E3">
        <w:rPr>
          <w:szCs w:val="24"/>
        </w:rPr>
        <w:tab/>
        <w:t xml:space="preserve">The public hearing will be conducted in a manner that provides a reasonable opportunity for persons with differing views on the issuance of the Bonds and the </w:t>
      </w:r>
      <w:r w:rsidR="00F1265B">
        <w:rPr>
          <w:szCs w:val="24"/>
        </w:rPr>
        <w:t>re</w:t>
      </w:r>
      <w:r w:rsidRPr="00DC66E3">
        <w:rPr>
          <w:szCs w:val="24"/>
        </w:rPr>
        <w:t xml:space="preserve">financing of the </w:t>
      </w:r>
      <w:r w:rsidR="00D23740" w:rsidRPr="00DC66E3">
        <w:rPr>
          <w:szCs w:val="24"/>
        </w:rPr>
        <w:t>P</w:t>
      </w:r>
      <w:r w:rsidRPr="00DC66E3">
        <w:rPr>
          <w:szCs w:val="24"/>
        </w:rPr>
        <w:t>roject to be heard and to present their oral and written comments.  At the time set for the public hearing, pursuant to Internal Re</w:t>
      </w:r>
      <w:r w:rsidR="00D817F4">
        <w:rPr>
          <w:szCs w:val="24"/>
        </w:rPr>
        <w:t>venue Service Revenue Procedure</w:t>
      </w:r>
      <w:r w:rsidRPr="00DC66E3">
        <w:rPr>
          <w:szCs w:val="24"/>
        </w:rPr>
        <w:t xml:space="preserve"> 202</w:t>
      </w:r>
      <w:r w:rsidR="00F1265B">
        <w:rPr>
          <w:szCs w:val="24"/>
        </w:rPr>
        <w:t>2-20</w:t>
      </w:r>
      <w:r w:rsidRPr="00DC66E3">
        <w:rPr>
          <w:szCs w:val="24"/>
        </w:rPr>
        <w:t xml:space="preserve">, interested persons will be given </w:t>
      </w:r>
      <w:r w:rsidRPr="00DC66E3">
        <w:rPr>
          <w:szCs w:val="24"/>
        </w:rPr>
        <w:lastRenderedPageBreak/>
        <w:t xml:space="preserve">a reasonable opportunity to express their views, both orally (via telephonic </w:t>
      </w:r>
      <w:r w:rsidR="00F35F1C" w:rsidRPr="00DC66E3">
        <w:rPr>
          <w:szCs w:val="24"/>
        </w:rPr>
        <w:t>participation</w:t>
      </w:r>
      <w:r w:rsidRPr="00DC66E3">
        <w:rPr>
          <w:szCs w:val="24"/>
        </w:rPr>
        <w:t>) and in writing, on the merits and location of the Project, the plan of financing, the issuance of the Bonds</w:t>
      </w:r>
      <w:r w:rsidR="006820EF" w:rsidRPr="00DC66E3">
        <w:rPr>
          <w:szCs w:val="24"/>
        </w:rPr>
        <w:t>,</w:t>
      </w:r>
      <w:r w:rsidRPr="00DC66E3">
        <w:rPr>
          <w:szCs w:val="24"/>
        </w:rPr>
        <w:t xml:space="preserve"> or related matters.  Members of the public may listen to and contribute to any dis</w:t>
      </w:r>
      <w:r w:rsidR="00F35F1C" w:rsidRPr="00DC66E3">
        <w:rPr>
          <w:szCs w:val="24"/>
        </w:rPr>
        <w:t xml:space="preserve">cussion during the hearing by: </w:t>
      </w:r>
      <w:r w:rsidRPr="00DC66E3">
        <w:rPr>
          <w:szCs w:val="24"/>
        </w:rPr>
        <w:t>(1) dialing toll free</w:t>
      </w:r>
      <w:r w:rsidR="00F35F1C" w:rsidRPr="00DC66E3">
        <w:rPr>
          <w:szCs w:val="24"/>
        </w:rPr>
        <w:t xml:space="preserve"> </w:t>
      </w:r>
      <w:r w:rsidR="00A21AD8" w:rsidRPr="00DC66E3">
        <w:rPr>
          <w:szCs w:val="24"/>
        </w:rPr>
        <w:t>(8</w:t>
      </w:r>
      <w:r w:rsidR="00B56024" w:rsidRPr="00DC66E3">
        <w:rPr>
          <w:szCs w:val="24"/>
        </w:rPr>
        <w:t>88</w:t>
      </w:r>
      <w:r w:rsidR="00A21AD8" w:rsidRPr="00DC66E3">
        <w:rPr>
          <w:szCs w:val="24"/>
        </w:rPr>
        <w:t xml:space="preserve">) </w:t>
      </w:r>
      <w:r w:rsidR="00B56024" w:rsidRPr="00DC66E3">
        <w:rPr>
          <w:szCs w:val="24"/>
        </w:rPr>
        <w:t>475</w:t>
      </w:r>
      <w:r w:rsidR="00A21AD8" w:rsidRPr="00DC66E3">
        <w:rPr>
          <w:szCs w:val="24"/>
        </w:rPr>
        <w:t>-</w:t>
      </w:r>
      <w:r w:rsidR="00B56024" w:rsidRPr="00DC66E3">
        <w:rPr>
          <w:szCs w:val="24"/>
        </w:rPr>
        <w:t>4499</w:t>
      </w:r>
      <w:r w:rsidR="00F35F1C" w:rsidRPr="00DC66E3">
        <w:rPr>
          <w:szCs w:val="24"/>
        </w:rPr>
        <w:t xml:space="preserve"> </w:t>
      </w:r>
      <w:r w:rsidRPr="00DC66E3">
        <w:rPr>
          <w:szCs w:val="24"/>
        </w:rPr>
        <w:t>and (2) entering conference code</w:t>
      </w:r>
      <w:r w:rsidR="00F35F1C" w:rsidRPr="00DC66E3">
        <w:rPr>
          <w:szCs w:val="24"/>
        </w:rPr>
        <w:t xml:space="preserve"> </w:t>
      </w:r>
      <w:r w:rsidR="00B56024" w:rsidRPr="00DC66E3">
        <w:rPr>
          <w:szCs w:val="24"/>
        </w:rPr>
        <w:t>8756030834#</w:t>
      </w:r>
      <w:r w:rsidR="00F35F1C" w:rsidRPr="00DC66E3">
        <w:rPr>
          <w:szCs w:val="24"/>
        </w:rPr>
        <w:t xml:space="preserve"> </w:t>
      </w:r>
      <w:r w:rsidRPr="00DC66E3">
        <w:rPr>
          <w:szCs w:val="24"/>
        </w:rPr>
        <w:t>at the prompt.  Persons wishing to participate should s</w:t>
      </w:r>
      <w:r w:rsidR="006820EF" w:rsidRPr="00DC66E3">
        <w:rPr>
          <w:szCs w:val="24"/>
        </w:rPr>
        <w:t>ubmit a written request to speak at the hearing</w:t>
      </w:r>
      <w:r w:rsidRPr="00DC66E3">
        <w:rPr>
          <w:szCs w:val="24"/>
        </w:rPr>
        <w:t xml:space="preserve"> to </w:t>
      </w:r>
      <w:r w:rsidR="00703ECE">
        <w:rPr>
          <w:szCs w:val="24"/>
        </w:rPr>
        <w:t>Steven H. Sholk, E</w:t>
      </w:r>
      <w:r w:rsidRPr="00DC66E3">
        <w:rPr>
          <w:szCs w:val="24"/>
        </w:rPr>
        <w:t xml:space="preserve">sq., </w:t>
      </w:r>
      <w:r w:rsidR="006820EF" w:rsidRPr="00DC66E3">
        <w:rPr>
          <w:szCs w:val="24"/>
        </w:rPr>
        <w:t xml:space="preserve">electronically by email at </w:t>
      </w:r>
      <w:r w:rsidR="00703ECE" w:rsidRPr="00703ECE">
        <w:rPr>
          <w:szCs w:val="24"/>
          <w:u w:val="single"/>
        </w:rPr>
        <w:t>ssholk@gibbonslaw.com</w:t>
      </w:r>
      <w:r w:rsidR="006820EF" w:rsidRPr="00703ECE">
        <w:rPr>
          <w:szCs w:val="24"/>
        </w:rPr>
        <w:t>,</w:t>
      </w:r>
      <w:r w:rsidR="006820EF" w:rsidRPr="00DC66E3">
        <w:rPr>
          <w:szCs w:val="24"/>
        </w:rPr>
        <w:t xml:space="preserve"> </w:t>
      </w:r>
      <w:r w:rsidRPr="00DC66E3">
        <w:rPr>
          <w:szCs w:val="24"/>
        </w:rPr>
        <w:t>at least 24 hours before the hearing</w:t>
      </w:r>
      <w:r w:rsidR="006820EF" w:rsidRPr="00DC66E3">
        <w:rPr>
          <w:szCs w:val="24"/>
        </w:rPr>
        <w:t xml:space="preserve">.  In addition, </w:t>
      </w:r>
      <w:r w:rsidRPr="00DC66E3">
        <w:rPr>
          <w:szCs w:val="24"/>
        </w:rPr>
        <w:t>the hea</w:t>
      </w:r>
      <w:r w:rsidR="006820EF" w:rsidRPr="00DC66E3">
        <w:rPr>
          <w:szCs w:val="24"/>
        </w:rPr>
        <w:t>ring officer will also provide</w:t>
      </w:r>
      <w:r w:rsidRPr="00DC66E3">
        <w:rPr>
          <w:szCs w:val="24"/>
        </w:rPr>
        <w:t xml:space="preserve"> time for additional comments at the end of the h</w:t>
      </w:r>
      <w:r w:rsidR="00494033" w:rsidRPr="00DC66E3">
        <w:rPr>
          <w:szCs w:val="24"/>
        </w:rPr>
        <w:t>earing.  Oral remarks may not exceed</w:t>
      </w:r>
      <w:r w:rsidRPr="00DC66E3">
        <w:rPr>
          <w:szCs w:val="24"/>
        </w:rPr>
        <w:t xml:space="preserve"> five minutes in duration.  Written </w:t>
      </w:r>
      <w:r w:rsidR="00F35F1C" w:rsidRPr="00DC66E3">
        <w:rPr>
          <w:szCs w:val="24"/>
        </w:rPr>
        <w:t xml:space="preserve">comments should be delivered </w:t>
      </w:r>
      <w:r w:rsidR="006820EF" w:rsidRPr="00DC66E3">
        <w:rPr>
          <w:szCs w:val="24"/>
        </w:rPr>
        <w:t xml:space="preserve">to </w:t>
      </w:r>
      <w:r w:rsidR="00703ECE">
        <w:rPr>
          <w:szCs w:val="24"/>
        </w:rPr>
        <w:t>Steven H. Sholk</w:t>
      </w:r>
      <w:r w:rsidR="006820EF" w:rsidRPr="00DC66E3">
        <w:rPr>
          <w:szCs w:val="24"/>
        </w:rPr>
        <w:t xml:space="preserve">, Esq. electronically by email at </w:t>
      </w:r>
      <w:r w:rsidR="00703ECE" w:rsidRPr="00703ECE">
        <w:rPr>
          <w:szCs w:val="24"/>
          <w:u w:val="single"/>
        </w:rPr>
        <w:t>ssholk@gibbonslaw.com</w:t>
      </w:r>
      <w:r w:rsidR="006820EF" w:rsidRPr="00DC66E3">
        <w:rPr>
          <w:szCs w:val="24"/>
        </w:rPr>
        <w:t xml:space="preserve"> </w:t>
      </w:r>
      <w:r w:rsidR="00F35F1C" w:rsidRPr="00DC66E3">
        <w:rPr>
          <w:szCs w:val="24"/>
        </w:rPr>
        <w:t>for receipt not later than the date and time of the hearing.</w:t>
      </w:r>
    </w:p>
    <w:p w:rsidR="00400D8B" w:rsidRDefault="00400D8B" w:rsidP="00FF0585">
      <w:pPr>
        <w:spacing w:after="240"/>
        <w:jc w:val="both"/>
        <w:rPr>
          <w:szCs w:val="24"/>
        </w:rPr>
      </w:pPr>
      <w:r w:rsidRPr="00DC66E3">
        <w:rPr>
          <w:szCs w:val="24"/>
        </w:rPr>
        <w:tab/>
        <w:t>This notice is published in accordance with the public notice requirements of Section 147(f) of the Internal Revenue Code of 1986, as amended.</w:t>
      </w:r>
    </w:p>
    <w:p w:rsidR="00FE551A" w:rsidRPr="00DC66E3" w:rsidRDefault="00FE551A" w:rsidP="00FF0585">
      <w:pPr>
        <w:spacing w:after="24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James Lex, Executive Director</w:t>
      </w:r>
    </w:p>
    <w:sectPr w:rsidR="00FE551A" w:rsidRPr="00DC66E3" w:rsidSect="002E64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57" w:other="25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19" w:rsidRDefault="00431C19" w:rsidP="004E671D">
      <w:r>
        <w:separator/>
      </w:r>
    </w:p>
  </w:endnote>
  <w:endnote w:type="continuationSeparator" w:id="0">
    <w:p w:rsidR="00431C19" w:rsidRDefault="00431C19" w:rsidP="004E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9" w:rsidRDefault="00E80B52" w:rsidP="002C6018">
    <w:pPr>
      <w:pStyle w:val="DOCXID"/>
    </w:pPr>
    <w:r>
      <w:fldChar w:fldCharType="begin"/>
    </w:r>
    <w:r>
      <w:instrText xml:space="preserve"> DOCPROPERTY DOCXDOCID DMS=InterwovenIManage Format=&lt;&lt;NUM&gt;&gt;.&lt;&lt;VER&gt;&gt; &lt;&lt;CLT&gt;&gt;-&lt;&lt;MTR&gt;&gt; PRESERVELOCATION \* MERGEFORMAT </w:instrText>
    </w:r>
    <w:r>
      <w:fldChar w:fldCharType="separate"/>
    </w:r>
    <w:r w:rsidR="00FE551A">
      <w:t>3087380.2 117861-109233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9" w:rsidRDefault="00431C1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B52">
      <w:rPr>
        <w:rStyle w:val="PageNumber"/>
        <w:noProof/>
      </w:rPr>
      <w:t>3</w:t>
    </w:r>
    <w:r>
      <w:rPr>
        <w:rStyle w:val="PageNumber"/>
      </w:rPr>
      <w:fldChar w:fldCharType="end"/>
    </w:r>
  </w:p>
  <w:p w:rsidR="00431C19" w:rsidRDefault="00431C19">
    <w:pPr>
      <w:pStyle w:val="Footer"/>
      <w:rPr>
        <w:sz w:val="16"/>
      </w:rPr>
    </w:pPr>
  </w:p>
  <w:p w:rsidR="00431C19" w:rsidRDefault="00431C19">
    <w:pPr>
      <w:pStyle w:val="Footer"/>
      <w:rPr>
        <w:rStyle w:val="DocID"/>
      </w:rPr>
    </w:pPr>
  </w:p>
  <w:p w:rsidR="00431C19" w:rsidRDefault="00E80B52" w:rsidP="002C6018">
    <w:pPr>
      <w:pStyle w:val="DOCXID"/>
    </w:pPr>
    <w:r>
      <w:fldChar w:fldCharType="begin"/>
    </w:r>
    <w:r>
      <w:instrText xml:space="preserve"> DOCPROPERTY DOCXDOCID DMS=InterwovenIManage Forma</w:instrText>
    </w:r>
    <w:r>
      <w:instrText xml:space="preserve">t=&lt;&lt;NUM&gt;&gt;.&lt;&lt;VER&gt;&gt; &lt;&lt;CLT&gt;&gt;-&lt;&lt;MTR&gt;&gt; PRESERVELOCATION \* MERGEFORMAT </w:instrText>
    </w:r>
    <w:r>
      <w:fldChar w:fldCharType="separate"/>
    </w:r>
    <w:r w:rsidR="00FE551A">
      <w:t>3087380.2 117861-109233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9" w:rsidRDefault="00E80B52" w:rsidP="002C6018">
    <w:pPr>
      <w:pStyle w:val="DOCXID"/>
    </w:pPr>
    <w:r>
      <w:fldChar w:fldCharType="begin"/>
    </w:r>
    <w:r>
      <w:instrText xml:space="preserve"> DOCPROPERTY DOCXDOCID DMS=InterwovenIManage Format=&lt;&lt;NUM&gt;&gt;.&lt;&lt;VER&gt;&gt; &lt;&lt;CLT&gt;&gt;-&lt;&lt;MTR&gt;&gt; PRESERVELOCATION \* MERGEFORMAT </w:instrText>
    </w:r>
    <w:r>
      <w:fldChar w:fldCharType="separate"/>
    </w:r>
    <w:r w:rsidR="00FE551A">
      <w:t>3087380.2 117861-109233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19" w:rsidRDefault="00431C19" w:rsidP="004E671D">
      <w:r>
        <w:separator/>
      </w:r>
    </w:p>
  </w:footnote>
  <w:footnote w:type="continuationSeparator" w:id="0">
    <w:p w:rsidR="00431C19" w:rsidRDefault="00431C19" w:rsidP="004E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9" w:rsidRDefault="0043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9" w:rsidRDefault="0043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9" w:rsidRDefault="00431C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40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608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9E7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CE9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BE93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2DE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1420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44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AD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0DF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82"/>
    <w:rsid w:val="000035D9"/>
    <w:rsid w:val="00007183"/>
    <w:rsid w:val="0001588E"/>
    <w:rsid w:val="0001637C"/>
    <w:rsid w:val="00016934"/>
    <w:rsid w:val="00032A8B"/>
    <w:rsid w:val="00034E43"/>
    <w:rsid w:val="00051683"/>
    <w:rsid w:val="000516A7"/>
    <w:rsid w:val="0005431A"/>
    <w:rsid w:val="0006001E"/>
    <w:rsid w:val="00065D20"/>
    <w:rsid w:val="0007344A"/>
    <w:rsid w:val="0008000A"/>
    <w:rsid w:val="000869E8"/>
    <w:rsid w:val="000A17E2"/>
    <w:rsid w:val="000A3B2F"/>
    <w:rsid w:val="000C0289"/>
    <w:rsid w:val="000D347D"/>
    <w:rsid w:val="000D6F1F"/>
    <w:rsid w:val="000E401A"/>
    <w:rsid w:val="000E707E"/>
    <w:rsid w:val="000F28B9"/>
    <w:rsid w:val="000F2911"/>
    <w:rsid w:val="000F2F91"/>
    <w:rsid w:val="00117323"/>
    <w:rsid w:val="00125246"/>
    <w:rsid w:val="001440F5"/>
    <w:rsid w:val="00153B0B"/>
    <w:rsid w:val="001554C9"/>
    <w:rsid w:val="0016495C"/>
    <w:rsid w:val="0017293D"/>
    <w:rsid w:val="00184953"/>
    <w:rsid w:val="00190F4A"/>
    <w:rsid w:val="00195732"/>
    <w:rsid w:val="00197F8A"/>
    <w:rsid w:val="001C3CE4"/>
    <w:rsid w:val="001C518B"/>
    <w:rsid w:val="001D0CC1"/>
    <w:rsid w:val="001D2F66"/>
    <w:rsid w:val="001E4D82"/>
    <w:rsid w:val="001F0078"/>
    <w:rsid w:val="002040DD"/>
    <w:rsid w:val="002054A9"/>
    <w:rsid w:val="00231C4B"/>
    <w:rsid w:val="00246801"/>
    <w:rsid w:val="00250600"/>
    <w:rsid w:val="00255998"/>
    <w:rsid w:val="00257BB9"/>
    <w:rsid w:val="0026331C"/>
    <w:rsid w:val="00282A91"/>
    <w:rsid w:val="002A6CF6"/>
    <w:rsid w:val="002C455A"/>
    <w:rsid w:val="002C6018"/>
    <w:rsid w:val="002D1C96"/>
    <w:rsid w:val="002E382F"/>
    <w:rsid w:val="002E648D"/>
    <w:rsid w:val="00304009"/>
    <w:rsid w:val="00304E25"/>
    <w:rsid w:val="003066D8"/>
    <w:rsid w:val="003118C3"/>
    <w:rsid w:val="00311B4B"/>
    <w:rsid w:val="00324491"/>
    <w:rsid w:val="00333708"/>
    <w:rsid w:val="003455C8"/>
    <w:rsid w:val="00357544"/>
    <w:rsid w:val="00367150"/>
    <w:rsid w:val="0037390A"/>
    <w:rsid w:val="00373DA6"/>
    <w:rsid w:val="00374E97"/>
    <w:rsid w:val="00383110"/>
    <w:rsid w:val="003977E7"/>
    <w:rsid w:val="003A0B96"/>
    <w:rsid w:val="003A3888"/>
    <w:rsid w:val="003A726E"/>
    <w:rsid w:val="003B5F00"/>
    <w:rsid w:val="003D1AEF"/>
    <w:rsid w:val="003F2788"/>
    <w:rsid w:val="00400D8B"/>
    <w:rsid w:val="0042620F"/>
    <w:rsid w:val="00431C19"/>
    <w:rsid w:val="0044707C"/>
    <w:rsid w:val="00450167"/>
    <w:rsid w:val="00451645"/>
    <w:rsid w:val="004536CA"/>
    <w:rsid w:val="00454242"/>
    <w:rsid w:val="0047621A"/>
    <w:rsid w:val="004764F0"/>
    <w:rsid w:val="00494033"/>
    <w:rsid w:val="00495B8A"/>
    <w:rsid w:val="004A12F9"/>
    <w:rsid w:val="004B5B2E"/>
    <w:rsid w:val="004C7ECE"/>
    <w:rsid w:val="004E4D06"/>
    <w:rsid w:val="004E671D"/>
    <w:rsid w:val="004E693E"/>
    <w:rsid w:val="004F01BB"/>
    <w:rsid w:val="004F69CA"/>
    <w:rsid w:val="004F7CE0"/>
    <w:rsid w:val="005117A4"/>
    <w:rsid w:val="00514654"/>
    <w:rsid w:val="00516848"/>
    <w:rsid w:val="0051694C"/>
    <w:rsid w:val="005270FC"/>
    <w:rsid w:val="005432C0"/>
    <w:rsid w:val="00546712"/>
    <w:rsid w:val="0055270D"/>
    <w:rsid w:val="005702A6"/>
    <w:rsid w:val="0057442C"/>
    <w:rsid w:val="0059513E"/>
    <w:rsid w:val="00596AC8"/>
    <w:rsid w:val="005A27B7"/>
    <w:rsid w:val="005A313D"/>
    <w:rsid w:val="005B1B2F"/>
    <w:rsid w:val="005D177C"/>
    <w:rsid w:val="005D23B1"/>
    <w:rsid w:val="005D5F8E"/>
    <w:rsid w:val="005D7E6C"/>
    <w:rsid w:val="005F1AB4"/>
    <w:rsid w:val="005F2F94"/>
    <w:rsid w:val="005F5804"/>
    <w:rsid w:val="0060397F"/>
    <w:rsid w:val="006076BB"/>
    <w:rsid w:val="00610250"/>
    <w:rsid w:val="006200E1"/>
    <w:rsid w:val="00630DD6"/>
    <w:rsid w:val="006624D5"/>
    <w:rsid w:val="00663E7D"/>
    <w:rsid w:val="00681A4B"/>
    <w:rsid w:val="006820EF"/>
    <w:rsid w:val="00684C45"/>
    <w:rsid w:val="006860FB"/>
    <w:rsid w:val="00687093"/>
    <w:rsid w:val="006A049F"/>
    <w:rsid w:val="006A1CA9"/>
    <w:rsid w:val="006A55AF"/>
    <w:rsid w:val="006E1DC7"/>
    <w:rsid w:val="006E2F78"/>
    <w:rsid w:val="006E3B5C"/>
    <w:rsid w:val="0070071D"/>
    <w:rsid w:val="00703ECE"/>
    <w:rsid w:val="00705791"/>
    <w:rsid w:val="00720F35"/>
    <w:rsid w:val="00730190"/>
    <w:rsid w:val="00736150"/>
    <w:rsid w:val="0073667C"/>
    <w:rsid w:val="00743C0A"/>
    <w:rsid w:val="0077318A"/>
    <w:rsid w:val="00783BFA"/>
    <w:rsid w:val="00786E21"/>
    <w:rsid w:val="00797C5E"/>
    <w:rsid w:val="007A2027"/>
    <w:rsid w:val="007B5F95"/>
    <w:rsid w:val="007C3D22"/>
    <w:rsid w:val="007C4BE6"/>
    <w:rsid w:val="007E290F"/>
    <w:rsid w:val="007F046F"/>
    <w:rsid w:val="007F0642"/>
    <w:rsid w:val="007F1D9A"/>
    <w:rsid w:val="007F2FCC"/>
    <w:rsid w:val="007F6638"/>
    <w:rsid w:val="00800B3E"/>
    <w:rsid w:val="00805D7D"/>
    <w:rsid w:val="008113FA"/>
    <w:rsid w:val="008129F1"/>
    <w:rsid w:val="0085669B"/>
    <w:rsid w:val="008574E5"/>
    <w:rsid w:val="00865739"/>
    <w:rsid w:val="008821E4"/>
    <w:rsid w:val="00897B36"/>
    <w:rsid w:val="008A69E8"/>
    <w:rsid w:val="008B2904"/>
    <w:rsid w:val="008C048E"/>
    <w:rsid w:val="008C2720"/>
    <w:rsid w:val="008C49D2"/>
    <w:rsid w:val="0090037F"/>
    <w:rsid w:val="00903321"/>
    <w:rsid w:val="00910298"/>
    <w:rsid w:val="00914FE5"/>
    <w:rsid w:val="00933A80"/>
    <w:rsid w:val="00953677"/>
    <w:rsid w:val="009659B6"/>
    <w:rsid w:val="00971C41"/>
    <w:rsid w:val="0097242F"/>
    <w:rsid w:val="00976E06"/>
    <w:rsid w:val="00980513"/>
    <w:rsid w:val="00985C72"/>
    <w:rsid w:val="00992CB5"/>
    <w:rsid w:val="0099647A"/>
    <w:rsid w:val="009B7FC7"/>
    <w:rsid w:val="009C0B49"/>
    <w:rsid w:val="009D05AF"/>
    <w:rsid w:val="009D2A72"/>
    <w:rsid w:val="009F059D"/>
    <w:rsid w:val="009F249D"/>
    <w:rsid w:val="009F5205"/>
    <w:rsid w:val="00A1633F"/>
    <w:rsid w:val="00A21AD8"/>
    <w:rsid w:val="00A22E0E"/>
    <w:rsid w:val="00A237CC"/>
    <w:rsid w:val="00A24706"/>
    <w:rsid w:val="00A32868"/>
    <w:rsid w:val="00A33CAE"/>
    <w:rsid w:val="00A41A96"/>
    <w:rsid w:val="00A44194"/>
    <w:rsid w:val="00A44FB4"/>
    <w:rsid w:val="00A50C14"/>
    <w:rsid w:val="00A57F15"/>
    <w:rsid w:val="00A61684"/>
    <w:rsid w:val="00A62E00"/>
    <w:rsid w:val="00A65D34"/>
    <w:rsid w:val="00A7527F"/>
    <w:rsid w:val="00A764AF"/>
    <w:rsid w:val="00A81680"/>
    <w:rsid w:val="00A85B74"/>
    <w:rsid w:val="00A942DF"/>
    <w:rsid w:val="00A96751"/>
    <w:rsid w:val="00AA453B"/>
    <w:rsid w:val="00AC7246"/>
    <w:rsid w:val="00AD02CA"/>
    <w:rsid w:val="00AD53C3"/>
    <w:rsid w:val="00AE74EC"/>
    <w:rsid w:val="00AF0C48"/>
    <w:rsid w:val="00AF2D78"/>
    <w:rsid w:val="00B05F86"/>
    <w:rsid w:val="00B101B5"/>
    <w:rsid w:val="00B13ACE"/>
    <w:rsid w:val="00B33D88"/>
    <w:rsid w:val="00B34152"/>
    <w:rsid w:val="00B40700"/>
    <w:rsid w:val="00B42DAD"/>
    <w:rsid w:val="00B54151"/>
    <w:rsid w:val="00B542C0"/>
    <w:rsid w:val="00B56024"/>
    <w:rsid w:val="00B63770"/>
    <w:rsid w:val="00B65C14"/>
    <w:rsid w:val="00B809E0"/>
    <w:rsid w:val="00BA6A3D"/>
    <w:rsid w:val="00BB32F1"/>
    <w:rsid w:val="00BB3CA9"/>
    <w:rsid w:val="00BC6D7E"/>
    <w:rsid w:val="00BD4810"/>
    <w:rsid w:val="00BD79E2"/>
    <w:rsid w:val="00BE36C7"/>
    <w:rsid w:val="00BF00B7"/>
    <w:rsid w:val="00BF4F49"/>
    <w:rsid w:val="00C026B8"/>
    <w:rsid w:val="00C14D03"/>
    <w:rsid w:val="00C244F4"/>
    <w:rsid w:val="00C253C3"/>
    <w:rsid w:val="00C34321"/>
    <w:rsid w:val="00C40CDB"/>
    <w:rsid w:val="00C52283"/>
    <w:rsid w:val="00C52BA7"/>
    <w:rsid w:val="00C53056"/>
    <w:rsid w:val="00C605B8"/>
    <w:rsid w:val="00C72494"/>
    <w:rsid w:val="00C86B30"/>
    <w:rsid w:val="00C86F8B"/>
    <w:rsid w:val="00C878FB"/>
    <w:rsid w:val="00C95A2D"/>
    <w:rsid w:val="00C97825"/>
    <w:rsid w:val="00CB7F15"/>
    <w:rsid w:val="00CC1963"/>
    <w:rsid w:val="00CC71BC"/>
    <w:rsid w:val="00CC75A5"/>
    <w:rsid w:val="00CD1140"/>
    <w:rsid w:val="00CD1DF3"/>
    <w:rsid w:val="00CE608A"/>
    <w:rsid w:val="00D018F3"/>
    <w:rsid w:val="00D07097"/>
    <w:rsid w:val="00D13D76"/>
    <w:rsid w:val="00D23740"/>
    <w:rsid w:val="00D5750F"/>
    <w:rsid w:val="00D6404F"/>
    <w:rsid w:val="00D65C7B"/>
    <w:rsid w:val="00D80848"/>
    <w:rsid w:val="00D817F4"/>
    <w:rsid w:val="00D90082"/>
    <w:rsid w:val="00D92D96"/>
    <w:rsid w:val="00DB284D"/>
    <w:rsid w:val="00DC66E3"/>
    <w:rsid w:val="00DD06F0"/>
    <w:rsid w:val="00DD7E16"/>
    <w:rsid w:val="00DE0205"/>
    <w:rsid w:val="00DE45DD"/>
    <w:rsid w:val="00DE561E"/>
    <w:rsid w:val="00DE60A0"/>
    <w:rsid w:val="00E10621"/>
    <w:rsid w:val="00E16A52"/>
    <w:rsid w:val="00E26B7C"/>
    <w:rsid w:val="00E3674A"/>
    <w:rsid w:val="00E403CE"/>
    <w:rsid w:val="00E44A80"/>
    <w:rsid w:val="00E44B8C"/>
    <w:rsid w:val="00E47AA2"/>
    <w:rsid w:val="00E60A22"/>
    <w:rsid w:val="00E80B52"/>
    <w:rsid w:val="00E84FB8"/>
    <w:rsid w:val="00EA31CA"/>
    <w:rsid w:val="00EA56D9"/>
    <w:rsid w:val="00EA6104"/>
    <w:rsid w:val="00EB085E"/>
    <w:rsid w:val="00EB681A"/>
    <w:rsid w:val="00EB79DF"/>
    <w:rsid w:val="00ED0500"/>
    <w:rsid w:val="00ED0A5B"/>
    <w:rsid w:val="00ED2396"/>
    <w:rsid w:val="00ED2B3C"/>
    <w:rsid w:val="00ED4368"/>
    <w:rsid w:val="00EE4ECF"/>
    <w:rsid w:val="00F03CB2"/>
    <w:rsid w:val="00F04090"/>
    <w:rsid w:val="00F06ED8"/>
    <w:rsid w:val="00F1265B"/>
    <w:rsid w:val="00F143CC"/>
    <w:rsid w:val="00F2034E"/>
    <w:rsid w:val="00F27115"/>
    <w:rsid w:val="00F2789C"/>
    <w:rsid w:val="00F313D9"/>
    <w:rsid w:val="00F35F1C"/>
    <w:rsid w:val="00F37FCB"/>
    <w:rsid w:val="00F5148E"/>
    <w:rsid w:val="00F626D3"/>
    <w:rsid w:val="00F71FF4"/>
    <w:rsid w:val="00F72829"/>
    <w:rsid w:val="00F849C6"/>
    <w:rsid w:val="00F851C3"/>
    <w:rsid w:val="00F87371"/>
    <w:rsid w:val="00F8743C"/>
    <w:rsid w:val="00F913D2"/>
    <w:rsid w:val="00F95CC9"/>
    <w:rsid w:val="00FB3F40"/>
    <w:rsid w:val="00FC2A9A"/>
    <w:rsid w:val="00FD3CC5"/>
    <w:rsid w:val="00FE3D3D"/>
    <w:rsid w:val="00FE551A"/>
    <w:rsid w:val="00FE65E2"/>
    <w:rsid w:val="00FE6AF0"/>
    <w:rsid w:val="00FF0585"/>
    <w:rsid w:val="00FF5687"/>
    <w:rsid w:val="00FF6895"/>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E93EF"/>
  <w15:chartTrackingRefBased/>
  <w15:docId w15:val="{FFAC5916-283D-4928-97C9-7670F23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68"/>
    <w:pPr>
      <w:overflowPunct w:val="0"/>
      <w:autoSpaceDE w:val="0"/>
      <w:autoSpaceDN w:val="0"/>
      <w:adjustRightInd w:val="0"/>
      <w:textAlignment w:val="baseline"/>
    </w:pPr>
    <w:rPr>
      <w:sz w:val="24"/>
    </w:rPr>
  </w:style>
  <w:style w:type="paragraph" w:styleId="Heading1">
    <w:name w:val="heading 1"/>
    <w:basedOn w:val="Normal"/>
    <w:next w:val="BodyText"/>
    <w:qFormat/>
    <w:rsid w:val="00865739"/>
    <w:pPr>
      <w:keepNext/>
      <w:spacing w:after="240"/>
      <w:jc w:val="center"/>
      <w:outlineLvl w:val="0"/>
    </w:pPr>
    <w:rPr>
      <w:b/>
      <w:caps/>
      <w:u w:val="single"/>
    </w:rPr>
  </w:style>
  <w:style w:type="paragraph" w:styleId="Heading2">
    <w:name w:val="heading 2"/>
    <w:basedOn w:val="Normal"/>
    <w:next w:val="Normal"/>
    <w:qFormat/>
    <w:rsid w:val="00DE02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0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4D82"/>
    <w:pPr>
      <w:spacing w:after="240"/>
      <w:ind w:firstLine="720"/>
    </w:pPr>
  </w:style>
  <w:style w:type="character" w:customStyle="1" w:styleId="DocID">
    <w:name w:val="DocID"/>
    <w:semiHidden/>
    <w:rsid w:val="001E4D82"/>
    <w:rPr>
      <w:b w:val="0"/>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semiHidden/>
    <w:rsid w:val="002A6CF6"/>
    <w:pPr>
      <w:tabs>
        <w:tab w:val="center" w:pos="4680"/>
        <w:tab w:val="right" w:pos="9360"/>
      </w:tabs>
    </w:pPr>
  </w:style>
  <w:style w:type="paragraph" w:customStyle="1" w:styleId="GBlockQuote">
    <w:name w:val="G BlockQuote"/>
    <w:basedOn w:val="Normal"/>
    <w:rsid w:val="001E4D82"/>
    <w:pPr>
      <w:spacing w:after="240"/>
      <w:ind w:left="1440" w:right="1440"/>
    </w:pPr>
  </w:style>
  <w:style w:type="paragraph" w:customStyle="1" w:styleId="GBlockQuoteDouble">
    <w:name w:val="G BlockQuote Double"/>
    <w:basedOn w:val="Normal"/>
    <w:rsid w:val="00DE0205"/>
    <w:pPr>
      <w:spacing w:line="480" w:lineRule="auto"/>
      <w:ind w:left="1440" w:right="1440"/>
    </w:pPr>
  </w:style>
  <w:style w:type="paragraph" w:customStyle="1" w:styleId="GBodyText">
    <w:name w:val="G BodyText"/>
    <w:basedOn w:val="Normal"/>
    <w:rsid w:val="00DE60A0"/>
    <w:pPr>
      <w:spacing w:after="240"/>
      <w:ind w:firstLine="720"/>
    </w:pPr>
  </w:style>
  <w:style w:type="paragraph" w:customStyle="1" w:styleId="GBodyText12">
    <w:name w:val="G BodyText 12"/>
    <w:basedOn w:val="Normal"/>
    <w:rsid w:val="001E4D82"/>
    <w:pPr>
      <w:spacing w:after="240" w:line="240" w:lineRule="exact"/>
      <w:ind w:firstLine="720"/>
    </w:pPr>
  </w:style>
  <w:style w:type="paragraph" w:customStyle="1" w:styleId="GBodyText24">
    <w:name w:val="G BodyText 24"/>
    <w:basedOn w:val="Normal"/>
    <w:rsid w:val="001E4D82"/>
    <w:pPr>
      <w:spacing w:after="120" w:line="480" w:lineRule="exact"/>
      <w:ind w:firstLine="720"/>
    </w:pPr>
  </w:style>
  <w:style w:type="paragraph" w:customStyle="1" w:styleId="GBodyTextDouble">
    <w:name w:val="G BodyText Double"/>
    <w:basedOn w:val="Normal"/>
    <w:rsid w:val="001E4D82"/>
    <w:pPr>
      <w:spacing w:line="480" w:lineRule="auto"/>
      <w:ind w:firstLine="720"/>
    </w:pPr>
  </w:style>
  <w:style w:type="paragraph" w:customStyle="1" w:styleId="GBodyTextL">
    <w:name w:val="G BodyTextL"/>
    <w:basedOn w:val="Normal"/>
    <w:rsid w:val="00DE0205"/>
    <w:pPr>
      <w:spacing w:after="240"/>
    </w:pPr>
    <w:rPr>
      <w:szCs w:val="24"/>
    </w:rPr>
  </w:style>
  <w:style w:type="paragraph" w:customStyle="1" w:styleId="GSubTitle">
    <w:name w:val="G SubTitle"/>
    <w:basedOn w:val="Normal"/>
    <w:next w:val="GBodyText"/>
    <w:rsid w:val="0070071D"/>
    <w:pPr>
      <w:keepNext/>
      <w:spacing w:after="240"/>
    </w:pPr>
    <w:rPr>
      <w:b/>
      <w:u w:val="single"/>
    </w:rPr>
  </w:style>
  <w:style w:type="paragraph" w:customStyle="1" w:styleId="GTitle">
    <w:name w:val="G Title"/>
    <w:basedOn w:val="Normal"/>
    <w:next w:val="GBodyText"/>
    <w:rsid w:val="00DE0205"/>
    <w:pPr>
      <w:keepNext/>
      <w:spacing w:after="240"/>
      <w:jc w:val="center"/>
    </w:pPr>
    <w:rPr>
      <w:b/>
      <w:caps/>
      <w:u w:val="single"/>
    </w:rPr>
  </w:style>
  <w:style w:type="paragraph" w:styleId="Header">
    <w:name w:val="header"/>
    <w:basedOn w:val="Normal"/>
    <w:semiHidden/>
    <w:rsid w:val="002A6CF6"/>
    <w:pPr>
      <w:tabs>
        <w:tab w:val="center" w:pos="4680"/>
        <w:tab w:val="right" w:pos="9360"/>
      </w:tabs>
    </w:pPr>
  </w:style>
  <w:style w:type="character" w:styleId="PageNumber">
    <w:name w:val="page number"/>
    <w:basedOn w:val="DefaultParagraphFont"/>
    <w:semiHidden/>
    <w:rsid w:val="001E4D82"/>
  </w:style>
  <w:style w:type="paragraph" w:customStyle="1" w:styleId="DOCXID">
    <w:name w:val="DOCXID"/>
    <w:basedOn w:val="Normal"/>
    <w:rsid w:val="001C518B"/>
    <w:pPr>
      <w:overflowPunct/>
      <w:autoSpaceDE/>
      <w:autoSpaceDN/>
      <w:adjustRightInd/>
      <w:jc w:val="right"/>
      <w:textAlignment w:val="auto"/>
    </w:pPr>
    <w:rPr>
      <w:rFonts w:eastAsia="Calibri"/>
      <w:sz w:val="16"/>
      <w:szCs w:val="22"/>
    </w:rPr>
  </w:style>
  <w:style w:type="paragraph" w:styleId="BalloonText">
    <w:name w:val="Balloon Text"/>
    <w:basedOn w:val="Normal"/>
    <w:link w:val="BalloonTextChar"/>
    <w:uiPriority w:val="99"/>
    <w:semiHidden/>
    <w:unhideWhenUsed/>
    <w:rsid w:val="006A55AF"/>
    <w:rPr>
      <w:rFonts w:ascii="Segoe UI" w:hAnsi="Segoe UI" w:cs="Segoe UI"/>
      <w:sz w:val="18"/>
      <w:szCs w:val="18"/>
    </w:rPr>
  </w:style>
  <w:style w:type="character" w:customStyle="1" w:styleId="BalloonTextChar">
    <w:name w:val="Balloon Text Char"/>
    <w:link w:val="BalloonText"/>
    <w:uiPriority w:val="99"/>
    <w:semiHidden/>
    <w:rsid w:val="006A55AF"/>
    <w:rPr>
      <w:rFonts w:ascii="Segoe UI" w:hAnsi="Segoe UI" w:cs="Segoe UI"/>
      <w:sz w:val="18"/>
      <w:szCs w:val="18"/>
    </w:rPr>
  </w:style>
  <w:style w:type="character" w:styleId="Hyperlink">
    <w:name w:val="Hyperlink"/>
    <w:basedOn w:val="DefaultParagraphFont"/>
    <w:uiPriority w:val="99"/>
    <w:unhideWhenUsed/>
    <w:rsid w:val="00682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Gibbons 'Blank Document'</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#2198529 v2</vt:lpwstr>
  </property>
  <property fmtid="{D5CDD505-2E9C-101B-9397-08002B2CF9AE}" pid="3" name="CLIENTMATTER">
    <vt:lpwstr>060411-90232</vt:lpwstr>
  </property>
  <property fmtid="{D5CDD505-2E9C-101B-9397-08002B2CF9AE}" pid="4" name="DOCXDOCID">
    <vt:lpwstr>3087380.2 117861-109233</vt:lpwstr>
  </property>
  <property fmtid="{D5CDD505-2E9C-101B-9397-08002B2CF9AE}" pid="5" name="DocXLocation">
    <vt:lpwstr>Every Page</vt:lpwstr>
  </property>
  <property fmtid="{D5CDD505-2E9C-101B-9397-08002B2CF9AE}" pid="6" name="DocXFormat">
    <vt:lpwstr>DefaultFormat</vt:lpwstr>
  </property>
</Properties>
</file>